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69" w:rsidRDefault="00590A69" w:rsidP="00635B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0A6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1ECDF7" wp14:editId="6AB13EEC">
            <wp:extent cx="4667250" cy="300839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2745" cy="30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25" w:rsidRDefault="00590A69" w:rsidP="00DE4B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0A69">
        <w:rPr>
          <w:noProof/>
          <w:lang w:eastAsia="ru-RU"/>
        </w:rPr>
        <w:t xml:space="preserve"> </w:t>
      </w:r>
      <w:r w:rsidR="00DE4B25" w:rsidRPr="00DE4B2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Тенькинского муниципального округа Магаданской области объявляет </w:t>
      </w:r>
      <w:r w:rsidR="00920832">
        <w:rPr>
          <w:rFonts w:ascii="Times New Roman" w:eastAsia="Calibri" w:hAnsi="Times New Roman" w:cs="Times New Roman"/>
          <w:b/>
          <w:sz w:val="28"/>
          <w:szCs w:val="28"/>
        </w:rPr>
        <w:t>о проведении отбора заявок</w:t>
      </w:r>
      <w:r w:rsidR="00DE4B25" w:rsidRPr="00DE4B25">
        <w:rPr>
          <w:rFonts w:ascii="Times New Roman" w:eastAsia="Calibri" w:hAnsi="Times New Roman" w:cs="Times New Roman"/>
          <w:b/>
          <w:sz w:val="28"/>
          <w:szCs w:val="28"/>
        </w:rPr>
        <w:t xml:space="preserve"> от субъектов малого и среднего предпринимательства, </w:t>
      </w:r>
      <w:r w:rsidR="00313604"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производящих товары, выполняющие работы, оказывающие услуги </w:t>
      </w:r>
      <w:r w:rsidR="00807D55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DE4B25" w:rsidRPr="00DE4B25">
        <w:rPr>
          <w:rFonts w:ascii="Times New Roman" w:eastAsia="Calibri" w:hAnsi="Times New Roman" w:cs="Times New Roman"/>
          <w:b/>
          <w:sz w:val="28"/>
          <w:szCs w:val="28"/>
        </w:rPr>
        <w:t>территории Тень</w:t>
      </w:r>
      <w:r w:rsidR="00920832">
        <w:rPr>
          <w:rFonts w:ascii="Times New Roman" w:eastAsia="Calibri" w:hAnsi="Times New Roman" w:cs="Times New Roman"/>
          <w:b/>
          <w:sz w:val="28"/>
          <w:szCs w:val="28"/>
        </w:rPr>
        <w:t>кинского муниципального округа.</w:t>
      </w:r>
    </w:p>
    <w:tbl>
      <w:tblPr>
        <w:tblStyle w:val="a4"/>
        <w:tblW w:w="9472" w:type="dxa"/>
        <w:jc w:val="center"/>
        <w:tblLook w:val="04A0" w:firstRow="1" w:lastRow="0" w:firstColumn="1" w:lastColumn="0" w:noHBand="0" w:noVBand="1"/>
      </w:tblPr>
      <w:tblGrid>
        <w:gridCol w:w="2098"/>
        <w:gridCol w:w="7374"/>
      </w:tblGrid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613C5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ата размещения объявления о проведении отбора</w:t>
            </w:r>
          </w:p>
        </w:tc>
        <w:tc>
          <w:tcPr>
            <w:tcW w:w="8626" w:type="dxa"/>
          </w:tcPr>
          <w:p w:rsidR="00920832" w:rsidRPr="00B4187A" w:rsidRDefault="00B4187A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0832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года.</w:t>
            </w:r>
          </w:p>
          <w:p w:rsidR="00920832" w:rsidRPr="00B4187A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A40C68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0C68">
              <w:rPr>
                <w:rFonts w:ascii="Times New Roman" w:hAnsi="Times New Roman" w:cs="Times New Roman"/>
                <w:sz w:val="24"/>
                <w:szCs w:val="24"/>
              </w:rPr>
              <w:t>роки проведения отбора</w:t>
            </w:r>
          </w:p>
        </w:tc>
        <w:tc>
          <w:tcPr>
            <w:tcW w:w="8626" w:type="dxa"/>
          </w:tcPr>
          <w:p w:rsidR="00920832" w:rsidRPr="00B4187A" w:rsidRDefault="006228A2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832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7A" w:rsidRPr="00B41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0832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59">
              <w:rPr>
                <w:rFonts w:ascii="Times New Roman" w:hAnsi="Times New Roman" w:cs="Times New Roman"/>
                <w:sz w:val="24"/>
                <w:szCs w:val="24"/>
              </w:rPr>
              <w:t>октября 2024 г. по 10 декабря</w:t>
            </w:r>
            <w:r w:rsidR="00920832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  <w:p w:rsidR="00920832" w:rsidRPr="00B4187A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и окончания приема заявок участников отбора </w:t>
            </w:r>
          </w:p>
        </w:tc>
        <w:tc>
          <w:tcPr>
            <w:tcW w:w="8626" w:type="dxa"/>
          </w:tcPr>
          <w:p w:rsidR="00920832" w:rsidRPr="00B4187A" w:rsidRDefault="006228A2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A70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</w:t>
            </w:r>
            <w:r w:rsidR="00B4187A" w:rsidRPr="00B4187A">
              <w:rPr>
                <w:rFonts w:ascii="Times New Roman" w:hAnsi="Times New Roman" w:cs="Times New Roman"/>
                <w:sz w:val="24"/>
                <w:szCs w:val="24"/>
              </w:rPr>
              <w:t>заявок 31</w:t>
            </w:r>
            <w:r w:rsidR="00920832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  <w:r w:rsidR="00A40C68" w:rsidRPr="00B41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832" w:rsidRPr="00313604" w:rsidRDefault="00920832" w:rsidP="00055CA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</w:t>
            </w:r>
            <w:r w:rsidR="007C6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87A"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B4187A"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адрес, адрес электронной почты</w:t>
            </w:r>
            <w:r w:rsidR="00A4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FA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 прием заявок</w:t>
            </w:r>
          </w:p>
        </w:tc>
        <w:tc>
          <w:tcPr>
            <w:tcW w:w="8626" w:type="dxa"/>
          </w:tcPr>
          <w:p w:rsidR="00946FFA" w:rsidRDefault="00946FFA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правление экономического развития администрации Тенькинского муниципального округа Магаданской области</w:t>
            </w:r>
          </w:p>
          <w:p w:rsidR="00946FFA" w:rsidRDefault="00946FFA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: Магаданская область, Тенькинский муниципальный округ, пгт. Усть-Омчуг, ул. Горняцкая, д.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32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6FFA" w:rsidRPr="00035919" w:rsidRDefault="007B6B15" w:rsidP="00FD7970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StanislavSA</w:t>
              </w:r>
              <w:r w:rsidRPr="007B6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@49</w:t>
              </w:r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7B6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23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3613C5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20832" w:rsidRPr="00837CF6">
              <w:rPr>
                <w:rFonts w:ascii="Times New Roman" w:hAnsi="Times New Roman" w:cs="Times New Roman"/>
                <w:sz w:val="24"/>
                <w:szCs w:val="24"/>
              </w:rPr>
              <w:t>езультаты предоставления субсидии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«Создано (включая вновь зарегистрированных индивидуальных предпринимателей) /сохранено рабочих мест в сфере малого и среднего предпринимательства</w:t>
            </w:r>
            <w:r w:rsidRPr="00AD5F8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» - </w:t>
            </w:r>
            <w:r w:rsidR="00AD5F83" w:rsidRPr="00AD5F8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не менее 1 чел.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оменное имя страниц официального сайта, на котором обеспечивается проведение отбора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отбора размещена на официальном сайте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Тенькинского муниципального округа Магаданской области»: </w:t>
            </w:r>
            <w:hyperlink r:id="rId6" w:history="1">
              <w:r w:rsidRPr="00837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https://admtenka.gosuslugi.ru/ekonomika-i-finansy/maloe-i-srednee-predprinimatelstvo/otbor-poluchateley-podderzhki/</w:t>
              </w:r>
            </w:hyperlink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527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ребования к участникам отбора и перечень документов, представляемых участниками отбора для подтверждения соответствия указанным требованиям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 субсидии (участник отбора) на дату подачи заявки должен соответствовать следующим требованиям: 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получателем средств из местного бюджета на основании иных нормативных правовых актов органов местного самоуправления муниципального образования «Тенькинский муниципальный округ Магаданской области»;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не иметь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«Тенькинский муниципальный округ Магаданской области» (за исключением случаев, установленных администрацией Тенькинского муниципального округа Магаданской области);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sub_1044"/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соответствовать критериям и категориям, предусмотренным пунктом 1.4 Порядка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предоставления субсидий юридическим лицам,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      </w:r>
            <w:r w:rsidR="00A166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утвержденным постановлением администрации Тенькинского городского округа</w:t>
            </w:r>
            <w:r w:rsidR="00192D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="009246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предпринимательства» </w:t>
            </w:r>
            <w:r w:rsidR="00490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далее – </w:t>
            </w:r>
            <w:r w:rsidR="00490B82" w:rsidRPr="00490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Порядок</w:t>
            </w:r>
            <w:r w:rsidR="00490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(размещен </w:t>
            </w:r>
            <w:hyperlink r:id="rId7" w:history="1">
              <w:r w:rsidR="009246D0" w:rsidRPr="008C6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https://admtenka.gosuslugi.ru/ekonomika-i-finansy/maloe-i-srednee-predprinimatelstvo/pravovye-akty/</w:t>
              </w:r>
            </w:hyperlink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20832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с даты признания субъекта предпринимательства совершившим нарушение порядка и условий предоставления субсидии прошло менее одного года, за исключением случая более раннего устранения субъектом предпринимательства такого нарушения при условии соблюдения им срока устранения та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>кого нарушения, установленного 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правлением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экономического развития администрации Тенькинского муниципального округа Магаданской области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, а в случае, если нарушение порядка и условий предоставления субсидии связано с нецелевым использованием средств субсидии или представлением недостоверных сведений и документов, с даты признания субъекта предпринимательства совершившим такое н</w:t>
            </w:r>
            <w:r w:rsidR="009246D0">
              <w:rPr>
                <w:rFonts w:ascii="Times New Roman" w:eastAsia="Calibri" w:hAnsi="Times New Roman" w:cs="Times New Roman"/>
                <w:sz w:val="24"/>
                <w:szCs w:val="24"/>
              </w:rPr>
              <w:t>арушение прошло менее трех лет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(данный пункт 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распространяется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виды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субсидий, в отношении которых у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правлением</w:t>
            </w:r>
            <w:r w:rsidR="009246D0"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экономического развития администрации Тенькинского муниципального округа Магаданской области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выявлены нарушения субъектом предпринимательства порядка и условий оказания поддержки</w:t>
            </w:r>
            <w:r w:rsidR="005274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74C5" w:rsidRPr="00837CF6" w:rsidRDefault="005274C5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необходимых для подтверждения соответствия участников отбора требованиям: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информационное письмо о соответствии получателя субсидии (участника отбора) требованиям;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устава (для юридического лица);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государственную регистрацию заявителя;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полномочия руководителя – для юридического лица, копия документа, удостоверяющего личность – для физического лица;</w:t>
            </w:r>
          </w:p>
          <w:p w:rsidR="008A739F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копия документа, подтверждающего полномочия лица на осуществление действий от имени заявителя (при необходимости);</w:t>
            </w:r>
          </w:p>
          <w:p w:rsidR="006D3FC8" w:rsidRPr="00837CF6" w:rsidRDefault="008A739F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«О развитии малого и среднего предпринимательства в Российской Федерации»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D32" w:rsidRPr="00304D32">
              <w:rPr>
                <w:rFonts w:ascii="Times New Roman" w:eastAsia="Calibri" w:hAnsi="Times New Roman" w:cs="Times New Roman"/>
                <w:sz w:val="24"/>
                <w:szCs w:val="24"/>
              </w:rPr>
              <w:t>(для вновь созданных юридических лиц, вновь зарегистрированных индивидуальных предпринимателей в порядке, установленном частью 3 статьи 4  Федерального закона от 24 июля 2007 г. № 209-ФЗ «О развитии малого и среднего предпринимательства в Российской Федерации»)</w:t>
            </w:r>
            <w:r w:rsidR="00F64DB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304D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атегории и (или) критерии отбора</w:t>
            </w:r>
          </w:p>
        </w:tc>
        <w:tc>
          <w:tcPr>
            <w:tcW w:w="8626" w:type="dxa"/>
          </w:tcPr>
          <w:p w:rsidR="00920832" w:rsidRPr="00837CF6" w:rsidRDefault="00920832" w:rsidP="00FD7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Право на по</w:t>
            </w:r>
            <w:r w:rsidR="00D9430E">
              <w:rPr>
                <w:rFonts w:ascii="Times New Roman" w:hAnsi="Times New Roman" w:cs="Times New Roman"/>
                <w:sz w:val="24"/>
                <w:szCs w:val="24"/>
              </w:rPr>
              <w:t xml:space="preserve">лучение субсидий 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имеют юридические и физические лица, являющиеся производителями товаров, работ, услуг, осуществляющие свою деятельность на территории Тенькинского муниципального округа Магаданской области, и отнесенные к получателям поддержки в соответствии с условиями, установленными Федеральным законом от 24 июля 2007 г. № 209-ФЗ «О развитии малого и среднего предпринимательства в Российской Федерации» (далее – субъекты</w:t>
            </w:r>
            <w:r w:rsidR="008A739F" w:rsidRPr="00837CF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предпринимательства), следующей категории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0832" w:rsidRDefault="00920832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067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предпринимательства, производящие товары, выполняющие работы, оказывающие услуги по следующим видам экономической деятельности: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в области культуры, спорта, организации досуга и развлечений;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пищевых продуктов;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одежды;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готовых металлических изделий;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сбор, обработка и утилизация отходов; обработка вторичного сырья;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в области ликвидации последствий загрязнений и прочих услуг, связанных с удалением отходов;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почтовой связи и курьерская деятельность;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по предоставлению продуктов питания и напитков;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в области информации и связи;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рекламная;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ветеринарная;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по обслуживанию зданий и территорий;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в области здравоохранения и социальных услуг;</w:t>
            </w:r>
          </w:p>
          <w:p w:rsidR="00500067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компьютеров, предметов личного потребления и хозяйственно-бытового назначения;</w:t>
            </w:r>
          </w:p>
          <w:p w:rsidR="00500067" w:rsidRPr="004F5EE4" w:rsidRDefault="00500067" w:rsidP="00500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по предоставлению прочих персональных услуг.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304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hAnsi="Times New Roman" w:cs="Times New Roman"/>
                <w:sz w:val="24"/>
                <w:szCs w:val="24"/>
              </w:rPr>
              <w:t>орядок подачи участниками отбора заявок и требования, предъявляемых к форме и содержанию заявок</w:t>
            </w:r>
          </w:p>
        </w:tc>
        <w:tc>
          <w:tcPr>
            <w:tcW w:w="8626" w:type="dxa"/>
          </w:tcPr>
          <w:p w:rsidR="00920832" w:rsidRDefault="00920CA2" w:rsidP="00164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Заявители подают </w:t>
            </w:r>
            <w:r w:rsidRPr="0087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заявку </w:t>
            </w:r>
            <w:r w:rsidR="00164344" w:rsidRPr="00A4594B">
              <w:rPr>
                <w:rFonts w:ascii="Times New Roman" w:hAnsi="Times New Roman" w:cs="Times New Roman"/>
                <w:sz w:val="24"/>
                <w:szCs w:val="28"/>
              </w:rPr>
              <w:t>в течение срока, указанного в настоящем объявлении</w:t>
            </w:r>
            <w:r w:rsidR="00164344" w:rsidRPr="0082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требованиями, предъявляемыми к форме и содержанию заявок, подаваемых заявителями, установл</w:t>
            </w:r>
            <w:r w:rsid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енными Приложением № 1 к </w:t>
            </w:r>
            <w:r w:rsidR="00A45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      </w:r>
            <w:r w:rsidR="00A459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4344" w:rsidRPr="00837CF6" w:rsidRDefault="00164344" w:rsidP="001643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94B">
              <w:rPr>
                <w:rFonts w:ascii="Times New Roman" w:hAnsi="Times New Roman" w:cs="Times New Roman"/>
                <w:sz w:val="24"/>
                <w:szCs w:val="28"/>
              </w:rPr>
              <w:t>Участник отбора вправе подать только одну заявку.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6D3F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орядок отзыва заявок, порядок их возврата, определяющий в том числе основания для возврата заявок, порядок внесения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изменений в заявки</w:t>
            </w:r>
          </w:p>
        </w:tc>
        <w:tc>
          <w:tcPr>
            <w:tcW w:w="8626" w:type="dxa"/>
          </w:tcPr>
          <w:p w:rsidR="000416AC" w:rsidRPr="00837CF6" w:rsidRDefault="000416AC" w:rsidP="00FD79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Участник отбора до окончания срока приема документов вправе отозвать свою заявку путем направления в управление экономического развития администрации Тенькинского муниципального округа Магаданской области письменного уведомления об отзыве заявки, подписанного руководителем (уполномоченным лицом) участника отбора.</w:t>
            </w:r>
          </w:p>
          <w:p w:rsidR="000416AC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заявку осуществляется путем отзыва участником отбора подданной заявки и подачи новой (измененной) заявки в срок до окончания приема заявок.</w:t>
            </w:r>
          </w:p>
          <w:p w:rsidR="00920832" w:rsidRPr="00837CF6" w:rsidRDefault="009208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416AC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равила рассмотрения заявок и оценки заявок</w:t>
            </w:r>
          </w:p>
        </w:tc>
        <w:tc>
          <w:tcPr>
            <w:tcW w:w="8626" w:type="dxa"/>
          </w:tcPr>
          <w:p w:rsidR="00164344" w:rsidRPr="00A4594B" w:rsidRDefault="00164344" w:rsidP="00FD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аявк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отбора 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рассматриваются на предмет </w:t>
            </w: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>их соответствия устан</w:t>
            </w:r>
            <w:r w:rsidR="00A4594B">
              <w:rPr>
                <w:rFonts w:ascii="Times New Roman" w:hAnsi="Times New Roman" w:cs="Times New Roman"/>
                <w:sz w:val="24"/>
                <w:szCs w:val="24"/>
              </w:rPr>
              <w:t xml:space="preserve">овленным </w:t>
            </w:r>
            <w:r w:rsidR="00A45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требованиям.</w:t>
            </w:r>
          </w:p>
          <w:p w:rsidR="00304D32" w:rsidRPr="00A4594B" w:rsidRDefault="00164344" w:rsidP="00164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9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оформляется протоколом подведения итогов отбора</w:t>
            </w:r>
            <w:r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0BC8" w:rsidRPr="00A4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E2BF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возврата заявок на доработку</w:t>
            </w:r>
          </w:p>
        </w:tc>
        <w:tc>
          <w:tcPr>
            <w:tcW w:w="8626" w:type="dxa"/>
          </w:tcPr>
          <w:p w:rsidR="00920832" w:rsidRPr="00837CF6" w:rsidRDefault="000E2BF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Возврат заявок на доработку не предусматривается.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6D3FC8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E2BF7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отклонения заявок, а также информацию об основаниях их отклонения</w:t>
            </w:r>
          </w:p>
        </w:tc>
        <w:tc>
          <w:tcPr>
            <w:tcW w:w="8626" w:type="dxa"/>
          </w:tcPr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рассмотрения заявка участника отбора может быт</w:t>
            </w:r>
            <w:r w:rsidR="00217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отклонена 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следующим основаниям: 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несоответствие участника отбора требованиям, установленным пунктом 2.1 </w:t>
            </w:r>
            <w:r w:rsidR="0054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Порядка</w:t>
            </w:r>
            <w:r w:rsidR="005461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(представление не в полном объеме) документов, указанных в объявлении о пров</w:t>
            </w:r>
            <w:r w:rsidR="00B07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едении отбора, предусмотренных </w:t>
            </w:r>
            <w:r w:rsidR="00546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представленных участником отбора заявок и (или) документов требованиям, установленным в объявлении о пров</w:t>
            </w:r>
            <w:r w:rsidR="00B07F77">
              <w:rPr>
                <w:rFonts w:ascii="Times New Roman" w:eastAsia="Calibri" w:hAnsi="Times New Roman" w:cs="Times New Roman"/>
                <w:sz w:val="24"/>
                <w:szCs w:val="24"/>
              </w:rPr>
              <w:t>едении отбора, предусмотренных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 в документах, представленных участником отбора в целях подтверждения соо</w:t>
            </w:r>
            <w:r w:rsidR="0008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тветствия установленным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Порядком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подача участником отбора заявки после даты окончания срока, определенного для подачи заявок;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несоответствие участника отбора категориям получателей субсидии, у</w:t>
            </w:r>
            <w:r w:rsidR="0008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становленных пунктом 1.4 </w:t>
            </w:r>
            <w:r w:rsidR="000831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Порядка</w:t>
            </w: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участником отбора подано более одной заявки;</w:t>
            </w:r>
          </w:p>
          <w:p w:rsidR="00A73697" w:rsidRPr="00A73697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включенные в заявку, не поддаются прочтению;</w:t>
            </w:r>
          </w:p>
          <w:p w:rsidR="00304D32" w:rsidRPr="00837CF6" w:rsidRDefault="00A73697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97">
              <w:rPr>
                <w:rFonts w:ascii="Times New Roman" w:eastAsia="Calibri" w:hAnsi="Times New Roman" w:cs="Times New Roman"/>
                <w:sz w:val="24"/>
                <w:szCs w:val="24"/>
              </w:rPr>
              <w:t>- превышение лимитов бюджетных обязательств.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0E2BF7" w:rsidP="00FB2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распределяемой субсидии в рамках отбора, порядок расчета размера субсидии, правила распределения </w:t>
            </w:r>
            <w:r w:rsidR="00FB2A7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по результатам отбора.</w:t>
            </w:r>
          </w:p>
        </w:tc>
        <w:tc>
          <w:tcPr>
            <w:tcW w:w="8626" w:type="dxa"/>
          </w:tcPr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 распределяемо</w:t>
            </w:r>
            <w:r w:rsidR="002F2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="00500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субсидии в рамках отбора – 250 000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 рублей.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Порядок расчета размера субсидии – 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= </w:t>
            </w: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0,90, где: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– размер субсидии на возмещение фактических затрат;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0,90 – уровень </w:t>
            </w: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затрат заявителя; </w:t>
            </w:r>
          </w:p>
          <w:p w:rsidR="00C84404" w:rsidRPr="00AF3FB5" w:rsidRDefault="00C84404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</w:t>
            </w:r>
            <w:proofErr w:type="spellEnd"/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фактические затраты заявителя, включенные в заявку, и документально подтвержденные.</w:t>
            </w:r>
          </w:p>
          <w:p w:rsidR="000E2BF7" w:rsidRPr="00AF3FB5" w:rsidRDefault="000E2BF7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недостаточности лимитов бюджетных обязательств, распределение субсидий между победителями отбора осуществляется в порядке регистрации заявок участников отбора в системе документооборота управления экономического развития администрации Тенькинского муниципального округа Магаданской области. Преимущество имеют победители отбора, заявки которых поступили ранее других. </w:t>
            </w:r>
          </w:p>
          <w:p w:rsidR="00C84404" w:rsidRPr="00AF3FB5" w:rsidRDefault="000E2BF7" w:rsidP="00FD79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F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случае недостатка лимитов бюджетных обязательств субсидия предоставляется победителю отбора в размере лимитов бюджетных обязательств; победителю отбора, заявке которого присвоен более поздний регистрационный номер, – в размере остатка лимитов бюджетных обязательств, полученного в результате распределения субсидии.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626" w:type="dxa"/>
          </w:tcPr>
          <w:p w:rsidR="00D05BAD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направить в управление экономического развития администрации Тенькинского муниципального округа Магаданской области запрос о разъяснении положений объявления о проведении отбора со дня начал</w:t>
            </w:r>
            <w:r w:rsidR="009305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2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заявок</w:t>
            </w:r>
            <w:r w:rsidR="007C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октября 2024 г.</w:t>
            </w:r>
            <w:r w:rsidR="006254A5"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="006254A5" w:rsidRPr="008F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 </w:t>
            </w:r>
            <w:r w:rsidR="007C6759">
              <w:rPr>
                <w:rFonts w:ascii="Times New Roman" w:eastAsia="Calibri" w:hAnsi="Times New Roman" w:cs="Times New Roman"/>
                <w:sz w:val="24"/>
                <w:szCs w:val="24"/>
              </w:rPr>
              <w:t>позднее 6</w:t>
            </w:r>
            <w:r w:rsidR="008F4162" w:rsidRPr="008F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9305C8" w:rsidRPr="008F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года.</w:t>
            </w:r>
          </w:p>
          <w:p w:rsidR="00304D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Тенькинского муниципального округа Магаданской области в течение 2-х рабочих дней со дня получения запроса о разъяснении положений объявления о проведении отбора размещает разъяснение положений объявления о проведении отбора</w:t>
            </w:r>
            <w:bookmarkStart w:id="1" w:name="_GoBack"/>
            <w:bookmarkEnd w:id="1"/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с указанием предмета запроса, но без указания участника отбора, направившего запрос.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рок, в течение которого победитель (победители) отбора должен подписать Соглашение</w:t>
            </w:r>
          </w:p>
        </w:tc>
        <w:tc>
          <w:tcPr>
            <w:tcW w:w="8626" w:type="dxa"/>
          </w:tcPr>
          <w:p w:rsidR="00920832" w:rsidRPr="00837CF6" w:rsidRDefault="00304D32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05BAD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3-х рабочих дней со дня получения соглашения.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словия признания победителя (победителей) отбора уклонившимся от заключения Соглашения</w:t>
            </w:r>
          </w:p>
        </w:tc>
        <w:tc>
          <w:tcPr>
            <w:tcW w:w="862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в течение 3-х рабочих дней </w:t>
            </w:r>
            <w:r w:rsidR="00304D32"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 получения соглашения 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без уважительных причин не подписал соглашение о предоставлении субсидии, то такой участник отбора признается уклонившимся от заключения соглашения.</w:t>
            </w:r>
          </w:p>
        </w:tc>
      </w:tr>
      <w:tr w:rsidR="00920832" w:rsidRPr="00837CF6" w:rsidTr="00FD7970">
        <w:trPr>
          <w:jc w:val="center"/>
        </w:trPr>
        <w:tc>
          <w:tcPr>
            <w:tcW w:w="84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="00304D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роки размещения протокола подведения итогов отбора </w:t>
            </w:r>
          </w:p>
        </w:tc>
        <w:tc>
          <w:tcPr>
            <w:tcW w:w="8626" w:type="dxa"/>
          </w:tcPr>
          <w:p w:rsidR="00920832" w:rsidRPr="00837CF6" w:rsidRDefault="00D05BAD" w:rsidP="00FD79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F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подведения итогов отбора размещается в течение 5-ти рабочих дней со дня подписания.</w:t>
            </w:r>
          </w:p>
        </w:tc>
      </w:tr>
    </w:tbl>
    <w:p w:rsidR="00ED5A49" w:rsidRPr="00635BD8" w:rsidRDefault="00943C91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более подробной информацией обращаться в управление экономического развития администрации Тенькинского муниципального округа по телефону: 8-41344-30423</w:t>
      </w:r>
      <w:r w:rsidR="007C6759">
        <w:rPr>
          <w:rFonts w:ascii="Times New Roman" w:hAnsi="Times New Roman" w:cs="Times New Roman"/>
          <w:sz w:val="28"/>
          <w:szCs w:val="28"/>
        </w:rPr>
        <w:t>, 8-41344-30425</w:t>
      </w:r>
      <w:r>
        <w:rPr>
          <w:rFonts w:ascii="Times New Roman" w:hAnsi="Times New Roman" w:cs="Times New Roman"/>
          <w:sz w:val="28"/>
          <w:szCs w:val="28"/>
        </w:rPr>
        <w:t xml:space="preserve"> либо по адресу: Магаданская область, пгт. Усть-Омчуг, ул. Горняцкая, д. 37,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32, понедельник – пятница с 9:00 час. до 17:30 час. (перерыв с 12:30 час. до 14:00 час.).</w:t>
      </w:r>
    </w:p>
    <w:sectPr w:rsidR="00ED5A49" w:rsidRPr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41"/>
    <w:rsid w:val="000117C3"/>
    <w:rsid w:val="00035919"/>
    <w:rsid w:val="000416AC"/>
    <w:rsid w:val="00055CA5"/>
    <w:rsid w:val="000831C8"/>
    <w:rsid w:val="000D79C7"/>
    <w:rsid w:val="000E2BF7"/>
    <w:rsid w:val="00164344"/>
    <w:rsid w:val="0016503F"/>
    <w:rsid w:val="001852DF"/>
    <w:rsid w:val="00192D3D"/>
    <w:rsid w:val="001B5B51"/>
    <w:rsid w:val="001E777F"/>
    <w:rsid w:val="001E7EE3"/>
    <w:rsid w:val="00204DA6"/>
    <w:rsid w:val="00217D9F"/>
    <w:rsid w:val="00292118"/>
    <w:rsid w:val="002B2DD2"/>
    <w:rsid w:val="002F2D38"/>
    <w:rsid w:val="00303C73"/>
    <w:rsid w:val="00304D32"/>
    <w:rsid w:val="00313604"/>
    <w:rsid w:val="003613C5"/>
    <w:rsid w:val="00376C7B"/>
    <w:rsid w:val="00451ADC"/>
    <w:rsid w:val="00474FEE"/>
    <w:rsid w:val="00490B82"/>
    <w:rsid w:val="004C2B6F"/>
    <w:rsid w:val="004F5EE4"/>
    <w:rsid w:val="00500067"/>
    <w:rsid w:val="005274C5"/>
    <w:rsid w:val="00546151"/>
    <w:rsid w:val="00576EB6"/>
    <w:rsid w:val="00590A69"/>
    <w:rsid w:val="0059589B"/>
    <w:rsid w:val="005A275A"/>
    <w:rsid w:val="005C1743"/>
    <w:rsid w:val="005E11CB"/>
    <w:rsid w:val="0062209C"/>
    <w:rsid w:val="006228A2"/>
    <w:rsid w:val="006234F1"/>
    <w:rsid w:val="006254A5"/>
    <w:rsid w:val="00635BD8"/>
    <w:rsid w:val="00650C3A"/>
    <w:rsid w:val="00661BD5"/>
    <w:rsid w:val="0068315C"/>
    <w:rsid w:val="006D133B"/>
    <w:rsid w:val="006D3FC8"/>
    <w:rsid w:val="00732676"/>
    <w:rsid w:val="007756CD"/>
    <w:rsid w:val="007B6B15"/>
    <w:rsid w:val="007C6759"/>
    <w:rsid w:val="00802247"/>
    <w:rsid w:val="00807D55"/>
    <w:rsid w:val="00823080"/>
    <w:rsid w:val="00837CF6"/>
    <w:rsid w:val="00851389"/>
    <w:rsid w:val="00852AEF"/>
    <w:rsid w:val="00877396"/>
    <w:rsid w:val="008A739F"/>
    <w:rsid w:val="008F4162"/>
    <w:rsid w:val="00920832"/>
    <w:rsid w:val="00920CA2"/>
    <w:rsid w:val="009246D0"/>
    <w:rsid w:val="009305C8"/>
    <w:rsid w:val="0093117A"/>
    <w:rsid w:val="00935A02"/>
    <w:rsid w:val="0094294A"/>
    <w:rsid w:val="00943C91"/>
    <w:rsid w:val="00946FFA"/>
    <w:rsid w:val="00953E86"/>
    <w:rsid w:val="00957444"/>
    <w:rsid w:val="00962A70"/>
    <w:rsid w:val="009A576E"/>
    <w:rsid w:val="009E264A"/>
    <w:rsid w:val="00A16654"/>
    <w:rsid w:val="00A40C68"/>
    <w:rsid w:val="00A4594B"/>
    <w:rsid w:val="00A52B9C"/>
    <w:rsid w:val="00A656AB"/>
    <w:rsid w:val="00A7222B"/>
    <w:rsid w:val="00A73697"/>
    <w:rsid w:val="00AC1AC3"/>
    <w:rsid w:val="00AD5F83"/>
    <w:rsid w:val="00AF3FB5"/>
    <w:rsid w:val="00B07F77"/>
    <w:rsid w:val="00B41782"/>
    <w:rsid w:val="00B4187A"/>
    <w:rsid w:val="00B72219"/>
    <w:rsid w:val="00B8544C"/>
    <w:rsid w:val="00BB218A"/>
    <w:rsid w:val="00BF48FE"/>
    <w:rsid w:val="00BF725A"/>
    <w:rsid w:val="00C0088A"/>
    <w:rsid w:val="00C34F1A"/>
    <w:rsid w:val="00C40BC8"/>
    <w:rsid w:val="00C63591"/>
    <w:rsid w:val="00C66BE4"/>
    <w:rsid w:val="00C84404"/>
    <w:rsid w:val="00CF5B7A"/>
    <w:rsid w:val="00D02705"/>
    <w:rsid w:val="00D05BAD"/>
    <w:rsid w:val="00D1623C"/>
    <w:rsid w:val="00D9430E"/>
    <w:rsid w:val="00D9575F"/>
    <w:rsid w:val="00DE4B25"/>
    <w:rsid w:val="00E05870"/>
    <w:rsid w:val="00E07441"/>
    <w:rsid w:val="00E44489"/>
    <w:rsid w:val="00E70189"/>
    <w:rsid w:val="00EA10BA"/>
    <w:rsid w:val="00ED1AC4"/>
    <w:rsid w:val="00ED5A49"/>
    <w:rsid w:val="00F64DBB"/>
    <w:rsid w:val="00FB03E1"/>
    <w:rsid w:val="00FB1C92"/>
    <w:rsid w:val="00FB2A74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BBF-DE04-4CA9-906B-EB6913E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4F1"/>
    <w:rPr>
      <w:color w:val="0563C1" w:themeColor="hyperlink"/>
      <w:u w:val="single"/>
    </w:rPr>
  </w:style>
  <w:style w:type="paragraph" w:customStyle="1" w:styleId="ConsPlusNormal">
    <w:name w:val="ConsPlusNormal"/>
    <w:rsid w:val="00851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92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tenka.gosuslugi.ru/ekonomika-i-finansy/maloe-i-srednee-predprinimatelstvo/pravovye-ak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enka.gosuslugi.ru/ekonomika-i-finansy/maloe-i-srednee-predprinimatelstvo/otbor-poluchateley-podderzhki/" TargetMode="External"/><Relationship Id="rId5" Type="http://schemas.openxmlformats.org/officeDocument/2006/relationships/hyperlink" Target="mailto:StanislavSA@49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Дойничко Станислав</dc:creator>
  <cp:keywords/>
  <dc:description/>
  <cp:lastModifiedBy>Дойничко Станислав</cp:lastModifiedBy>
  <cp:revision>108</cp:revision>
  <dcterms:created xsi:type="dcterms:W3CDTF">2024-10-02T06:31:00Z</dcterms:created>
  <dcterms:modified xsi:type="dcterms:W3CDTF">2024-10-25T00:15:00Z</dcterms:modified>
</cp:coreProperties>
</file>